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C2" w:rsidRPr="0053026C" w:rsidRDefault="008737C2" w:rsidP="008737C2">
      <w:pPr>
        <w:pStyle w:val="Standard"/>
        <w:rPr>
          <w:rFonts w:ascii="Arial" w:hAnsi="Arial" w:cs="Arial"/>
          <w:sz w:val="28"/>
          <w:szCs w:val="28"/>
        </w:rPr>
      </w:pPr>
      <w:r w:rsidRPr="0053026C">
        <w:rPr>
          <w:rFonts w:ascii="Arial" w:hAnsi="Arial" w:cs="Arial"/>
          <w:color w:val="000000"/>
          <w:sz w:val="28"/>
          <w:szCs w:val="28"/>
        </w:rPr>
        <w:t xml:space="preserve">Wellness is not simply the absence of illness or </w:t>
      </w:r>
      <w:proofErr w:type="spellStart"/>
      <w:r w:rsidRPr="0053026C">
        <w:rPr>
          <w:rFonts w:ascii="Arial" w:hAnsi="Arial" w:cs="Arial"/>
          <w:color w:val="000000"/>
          <w:sz w:val="28"/>
          <w:szCs w:val="28"/>
        </w:rPr>
        <w:t>dysfunctionality</w:t>
      </w:r>
      <w:proofErr w:type="spellEnd"/>
      <w:r>
        <w:rPr>
          <w:rFonts w:ascii="Arial" w:hAnsi="Arial" w:cs="Arial"/>
          <w:color w:val="000000"/>
          <w:sz w:val="28"/>
          <w:szCs w:val="28"/>
        </w:rPr>
        <w:t>;</w:t>
      </w:r>
      <w:r w:rsidRPr="0053026C">
        <w:rPr>
          <w:rFonts w:ascii="Arial" w:hAnsi="Arial" w:cs="Arial"/>
          <w:color w:val="000000"/>
          <w:sz w:val="28"/>
          <w:szCs w:val="28"/>
        </w:rPr>
        <w:t xml:space="preserve"> rather it is the optimal level of perceived performance and resultant functionality.</w:t>
      </w:r>
    </w:p>
    <w:p w:rsidR="008737C2" w:rsidRPr="0053026C" w:rsidRDefault="008737C2" w:rsidP="008737C2">
      <w:pPr>
        <w:pStyle w:val="Standard"/>
        <w:rPr>
          <w:rFonts w:ascii="Arial" w:hAnsi="Arial" w:cs="Arial"/>
          <w:color w:val="000000"/>
          <w:sz w:val="28"/>
          <w:szCs w:val="28"/>
        </w:rPr>
      </w:pPr>
    </w:p>
    <w:p w:rsidR="008737C2" w:rsidRPr="0053026C" w:rsidRDefault="008737C2" w:rsidP="008737C2">
      <w:pPr>
        <w:pStyle w:val="Standard"/>
        <w:rPr>
          <w:rFonts w:ascii="Arial" w:hAnsi="Arial" w:cs="Arial"/>
          <w:color w:val="000000"/>
          <w:sz w:val="28"/>
          <w:szCs w:val="28"/>
        </w:rPr>
      </w:pPr>
      <w:r w:rsidRPr="0053026C">
        <w:rPr>
          <w:rFonts w:ascii="Arial" w:hAnsi="Arial" w:cs="Arial"/>
          <w:color w:val="000000"/>
          <w:sz w:val="28"/>
          <w:szCs w:val="28"/>
        </w:rPr>
        <w:t>Each realm's optimal level of wellness and functionality is defined for the population in general as follows:</w:t>
      </w:r>
    </w:p>
    <w:p w:rsidR="00CF0B7B" w:rsidRDefault="00CF0B7B"/>
    <w:tbl>
      <w:tblPr>
        <w:tblW w:w="8640" w:type="dxa"/>
        <w:tblInd w:w="45" w:type="dxa"/>
        <w:tblLayout w:type="fixed"/>
        <w:tblCellMar>
          <w:left w:w="10" w:type="dxa"/>
          <w:right w:w="10" w:type="dxa"/>
        </w:tblCellMar>
        <w:tblLook w:val="0000" w:firstRow="0" w:lastRow="0" w:firstColumn="0" w:lastColumn="0" w:noHBand="0" w:noVBand="0"/>
      </w:tblPr>
      <w:tblGrid>
        <w:gridCol w:w="2880"/>
        <w:gridCol w:w="5760"/>
      </w:tblGrid>
      <w:tr w:rsidR="008737C2" w:rsidTr="003A53CC">
        <w:tc>
          <w:tcPr>
            <w:tcW w:w="2880" w:type="dxa"/>
            <w:tcBorders>
              <w:top w:val="single" w:sz="2" w:space="0" w:color="000000"/>
              <w:left w:val="single" w:sz="2" w:space="0" w:color="000000"/>
              <w:bottom w:val="single" w:sz="2" w:space="0" w:color="000000"/>
            </w:tcBorders>
            <w:tcMar>
              <w:top w:w="55" w:type="dxa"/>
              <w:left w:w="55" w:type="dxa"/>
              <w:bottom w:w="55" w:type="dxa"/>
              <w:right w:w="55" w:type="dxa"/>
            </w:tcMar>
          </w:tcPr>
          <w:p w:rsidR="008737C2" w:rsidRDefault="008737C2" w:rsidP="003A53CC">
            <w:pPr>
              <w:pStyle w:val="TableContents"/>
              <w:rPr>
                <w:b/>
                <w:bCs/>
              </w:rPr>
            </w:pPr>
            <w:r>
              <w:rPr>
                <w:b/>
                <w:bCs/>
              </w:rPr>
              <w:t>Realm</w:t>
            </w:r>
          </w:p>
        </w:tc>
        <w:tc>
          <w:tcPr>
            <w:tcW w:w="57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37C2" w:rsidRDefault="008737C2" w:rsidP="003A53CC">
            <w:pPr>
              <w:pStyle w:val="TableContents"/>
              <w:rPr>
                <w:b/>
                <w:bCs/>
              </w:rPr>
            </w:pPr>
            <w:r>
              <w:rPr>
                <w:b/>
                <w:bCs/>
              </w:rPr>
              <w:t>Optimum Wellness and Functionality</w:t>
            </w:r>
          </w:p>
        </w:tc>
      </w:tr>
      <w:tr w:rsidR="008737C2" w:rsidTr="003A53CC">
        <w:tc>
          <w:tcPr>
            <w:tcW w:w="2880" w:type="dxa"/>
            <w:tcBorders>
              <w:left w:val="single" w:sz="2" w:space="0" w:color="000000"/>
              <w:bottom w:val="single" w:sz="2" w:space="0" w:color="000000"/>
            </w:tcBorders>
            <w:tcMar>
              <w:top w:w="55" w:type="dxa"/>
              <w:left w:w="55" w:type="dxa"/>
              <w:bottom w:w="55" w:type="dxa"/>
              <w:right w:w="55" w:type="dxa"/>
            </w:tcMar>
          </w:tcPr>
          <w:p w:rsidR="008737C2" w:rsidRDefault="008737C2" w:rsidP="003A53CC">
            <w:pPr>
              <w:pStyle w:val="TableContents"/>
            </w:pPr>
            <w:r>
              <w:t>Physical</w:t>
            </w:r>
          </w:p>
          <w:p w:rsidR="008737C2" w:rsidRDefault="008737C2" w:rsidP="003A53CC">
            <w:pPr>
              <w:pStyle w:val="TableContents"/>
            </w:pPr>
          </w:p>
          <w:p w:rsidR="008737C2" w:rsidRDefault="008737C2" w:rsidP="003A53CC">
            <w:pPr>
              <w:pStyle w:val="TableContents"/>
            </w:pPr>
          </w:p>
        </w:tc>
        <w:tc>
          <w:tcPr>
            <w:tcW w:w="576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37C2" w:rsidRDefault="008737C2" w:rsidP="003A53CC">
            <w:pPr>
              <w:pStyle w:val="TableContents"/>
            </w:pPr>
            <w:r>
              <w:t xml:space="preserve">A body that feels good throughout the day and allows for full functionality in movement, nourishment, cardiovascular and respiratory function, reproduction and the expression of </w:t>
            </w:r>
            <w:proofErr w:type="spellStart"/>
            <w:r>
              <w:t>sexuality</w:t>
            </w:r>
            <w:proofErr w:type="gramStart"/>
            <w:r>
              <w:t>,excretion</w:t>
            </w:r>
            <w:proofErr w:type="spellEnd"/>
            <w:proofErr w:type="gramEnd"/>
            <w:r>
              <w:t>, communication and all other realms of life.</w:t>
            </w:r>
          </w:p>
        </w:tc>
      </w:tr>
      <w:tr w:rsidR="008737C2" w:rsidTr="003A53CC">
        <w:tc>
          <w:tcPr>
            <w:tcW w:w="2880" w:type="dxa"/>
            <w:tcBorders>
              <w:left w:val="single" w:sz="2" w:space="0" w:color="000000"/>
              <w:bottom w:val="single" w:sz="2" w:space="0" w:color="000000"/>
            </w:tcBorders>
            <w:tcMar>
              <w:top w:w="55" w:type="dxa"/>
              <w:left w:w="55" w:type="dxa"/>
              <w:bottom w:w="55" w:type="dxa"/>
              <w:right w:w="55" w:type="dxa"/>
            </w:tcMar>
          </w:tcPr>
          <w:p w:rsidR="008737C2" w:rsidRDefault="008737C2" w:rsidP="003A53CC">
            <w:pPr>
              <w:pStyle w:val="TableContents"/>
            </w:pPr>
            <w:r>
              <w:t>Psychological</w:t>
            </w:r>
          </w:p>
          <w:p w:rsidR="008737C2" w:rsidRDefault="008737C2" w:rsidP="003A53CC">
            <w:pPr>
              <w:pStyle w:val="TableContents"/>
            </w:pPr>
          </w:p>
          <w:p w:rsidR="008737C2" w:rsidRDefault="008737C2" w:rsidP="003A53CC">
            <w:pPr>
              <w:pStyle w:val="TableContents"/>
            </w:pPr>
          </w:p>
        </w:tc>
        <w:tc>
          <w:tcPr>
            <w:tcW w:w="576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37C2" w:rsidRDefault="008737C2" w:rsidP="003A53CC">
            <w:pPr>
              <w:pStyle w:val="TableContents"/>
            </w:pPr>
            <w:r>
              <w:t>Cognitive, emotional and behavioral ability to experience the full range of human experiences, including thinking, feeling, discerning, expressing, remembering and maintaining emotional balance.</w:t>
            </w:r>
          </w:p>
        </w:tc>
      </w:tr>
      <w:tr w:rsidR="008737C2" w:rsidTr="003A53CC">
        <w:tc>
          <w:tcPr>
            <w:tcW w:w="2880" w:type="dxa"/>
            <w:tcBorders>
              <w:left w:val="single" w:sz="2" w:space="0" w:color="000000"/>
              <w:bottom w:val="single" w:sz="2" w:space="0" w:color="000000"/>
            </w:tcBorders>
            <w:tcMar>
              <w:top w:w="55" w:type="dxa"/>
              <w:left w:w="55" w:type="dxa"/>
              <w:bottom w:w="55" w:type="dxa"/>
              <w:right w:w="55" w:type="dxa"/>
            </w:tcMar>
          </w:tcPr>
          <w:p w:rsidR="008737C2" w:rsidRDefault="008737C2" w:rsidP="003A53CC">
            <w:pPr>
              <w:pStyle w:val="TableContents"/>
            </w:pPr>
            <w:r>
              <w:t>Social</w:t>
            </w:r>
          </w:p>
          <w:p w:rsidR="008737C2" w:rsidRDefault="008737C2" w:rsidP="003A53CC">
            <w:pPr>
              <w:pStyle w:val="TableContents"/>
            </w:pPr>
          </w:p>
        </w:tc>
        <w:tc>
          <w:tcPr>
            <w:tcW w:w="576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37C2" w:rsidRDefault="008737C2" w:rsidP="003A53CC">
            <w:pPr>
              <w:pStyle w:val="TableContents"/>
            </w:pPr>
            <w:r>
              <w:t>The ability to initiate and maintain healthy relationships as well as the ability to avoid and terminate those relationships that do not serve.</w:t>
            </w:r>
          </w:p>
        </w:tc>
      </w:tr>
      <w:tr w:rsidR="008737C2" w:rsidTr="003A53CC">
        <w:tc>
          <w:tcPr>
            <w:tcW w:w="2880" w:type="dxa"/>
            <w:tcBorders>
              <w:left w:val="single" w:sz="2" w:space="0" w:color="000000"/>
              <w:bottom w:val="single" w:sz="2" w:space="0" w:color="000000"/>
            </w:tcBorders>
            <w:tcMar>
              <w:top w:w="55" w:type="dxa"/>
              <w:left w:w="55" w:type="dxa"/>
              <w:bottom w:w="55" w:type="dxa"/>
              <w:right w:w="55" w:type="dxa"/>
            </w:tcMar>
          </w:tcPr>
          <w:p w:rsidR="008737C2" w:rsidRDefault="008737C2" w:rsidP="003A53CC">
            <w:pPr>
              <w:pStyle w:val="TableContents"/>
            </w:pPr>
            <w:r>
              <w:t>Spiritual</w:t>
            </w:r>
          </w:p>
        </w:tc>
        <w:tc>
          <w:tcPr>
            <w:tcW w:w="576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37C2" w:rsidRDefault="008737C2" w:rsidP="003A53CC">
            <w:pPr>
              <w:pStyle w:val="TableContents"/>
            </w:pPr>
            <w:r>
              <w:t>The ability to discern and integrate a sense of personal mission; a reason for being and a connection to a purpose greater than oneself or one's lifetime.</w:t>
            </w:r>
          </w:p>
        </w:tc>
      </w:tr>
      <w:tr w:rsidR="008737C2" w:rsidTr="003A53CC">
        <w:tc>
          <w:tcPr>
            <w:tcW w:w="2880" w:type="dxa"/>
            <w:tcBorders>
              <w:left w:val="single" w:sz="2" w:space="0" w:color="000000"/>
              <w:bottom w:val="single" w:sz="2" w:space="0" w:color="000000"/>
            </w:tcBorders>
            <w:tcMar>
              <w:top w:w="55" w:type="dxa"/>
              <w:left w:w="55" w:type="dxa"/>
              <w:bottom w:w="55" w:type="dxa"/>
              <w:right w:w="55" w:type="dxa"/>
            </w:tcMar>
          </w:tcPr>
          <w:p w:rsidR="008737C2" w:rsidRDefault="008737C2" w:rsidP="003A53CC">
            <w:pPr>
              <w:pStyle w:val="TableContents"/>
            </w:pPr>
            <w:r>
              <w:t>Economic</w:t>
            </w:r>
          </w:p>
        </w:tc>
        <w:tc>
          <w:tcPr>
            <w:tcW w:w="576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37C2" w:rsidRDefault="008737C2" w:rsidP="003A53CC">
            <w:pPr>
              <w:pStyle w:val="TableContents"/>
            </w:pPr>
            <w:r>
              <w:t>The ability to attain and wisely use sufficient resources to meet the needs of oneself and other dependents, enough to protect against a time with decreased access to resources or for future needs and that which can be donated to the good of others.  “The opposite of poverty is not wealth; it is enough.”</w:t>
            </w:r>
          </w:p>
        </w:tc>
      </w:tr>
      <w:tr w:rsidR="008737C2" w:rsidRPr="008737C2" w:rsidTr="008737C2">
        <w:tc>
          <w:tcPr>
            <w:tcW w:w="2880" w:type="dxa"/>
            <w:tcBorders>
              <w:left w:val="single" w:sz="2" w:space="0" w:color="000000"/>
              <w:bottom w:val="single" w:sz="2" w:space="0" w:color="000000"/>
            </w:tcBorders>
            <w:tcMar>
              <w:top w:w="55" w:type="dxa"/>
              <w:left w:w="55" w:type="dxa"/>
              <w:bottom w:w="55" w:type="dxa"/>
              <w:right w:w="55" w:type="dxa"/>
            </w:tcMar>
          </w:tcPr>
          <w:p w:rsidR="008737C2" w:rsidRPr="008737C2" w:rsidRDefault="008737C2" w:rsidP="008737C2">
            <w:r w:rsidRPr="008737C2">
              <w:t>Academic</w:t>
            </w:r>
          </w:p>
        </w:tc>
        <w:tc>
          <w:tcPr>
            <w:tcW w:w="576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37C2" w:rsidRPr="008737C2" w:rsidRDefault="008737C2" w:rsidP="008737C2">
            <w:r w:rsidRPr="008737C2">
              <w:t>The ability to acquire knowledge, skills and motivation needed to carry out work and to fulfill roles in family, community, national and international life. Also, the ability to learn throughout the lifetime.</w:t>
            </w:r>
          </w:p>
        </w:tc>
      </w:tr>
      <w:tr w:rsidR="008737C2" w:rsidRPr="008737C2" w:rsidTr="008737C2">
        <w:tc>
          <w:tcPr>
            <w:tcW w:w="2880" w:type="dxa"/>
            <w:tcBorders>
              <w:left w:val="single" w:sz="2" w:space="0" w:color="000000"/>
              <w:bottom w:val="single" w:sz="2" w:space="0" w:color="000000"/>
            </w:tcBorders>
            <w:tcMar>
              <w:top w:w="55" w:type="dxa"/>
              <w:left w:w="55" w:type="dxa"/>
              <w:bottom w:w="55" w:type="dxa"/>
              <w:right w:w="55" w:type="dxa"/>
            </w:tcMar>
          </w:tcPr>
          <w:p w:rsidR="008737C2" w:rsidRPr="008737C2" w:rsidRDefault="008737C2" w:rsidP="008737C2">
            <w:r w:rsidRPr="008737C2">
              <w:t>Professional/Vocational</w:t>
            </w:r>
          </w:p>
        </w:tc>
        <w:tc>
          <w:tcPr>
            <w:tcW w:w="576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37C2" w:rsidRPr="008737C2" w:rsidRDefault="008737C2" w:rsidP="008737C2">
            <w:r w:rsidRPr="008737C2">
              <w:t>The ability to carry out responsibilities of work, to generate income and to give back to the development of the profession/vocation</w:t>
            </w:r>
          </w:p>
        </w:tc>
      </w:tr>
      <w:tr w:rsidR="008737C2" w:rsidRPr="008737C2" w:rsidTr="008737C2">
        <w:tc>
          <w:tcPr>
            <w:tcW w:w="2880" w:type="dxa"/>
            <w:tcBorders>
              <w:left w:val="single" w:sz="2" w:space="0" w:color="000000"/>
              <w:bottom w:val="single" w:sz="2" w:space="0" w:color="000000"/>
            </w:tcBorders>
            <w:tcMar>
              <w:top w:w="55" w:type="dxa"/>
              <w:left w:w="55" w:type="dxa"/>
              <w:bottom w:w="55" w:type="dxa"/>
              <w:right w:w="55" w:type="dxa"/>
            </w:tcMar>
          </w:tcPr>
          <w:p w:rsidR="008737C2" w:rsidRPr="008737C2" w:rsidRDefault="008737C2" w:rsidP="008737C2">
            <w:r w:rsidRPr="008737C2">
              <w:t>Environmental</w:t>
            </w:r>
          </w:p>
        </w:tc>
        <w:tc>
          <w:tcPr>
            <w:tcW w:w="576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37C2" w:rsidRPr="008737C2" w:rsidRDefault="008737C2" w:rsidP="008737C2">
            <w:r w:rsidRPr="008737C2">
              <w:t>The ability to be envision, plan, create and maintain spaces for living, working, transportation and recreation that are safe, invigorating and peaceful.</w:t>
            </w:r>
          </w:p>
        </w:tc>
      </w:tr>
    </w:tbl>
    <w:p w:rsidR="008737C2" w:rsidRDefault="008737C2">
      <w:bookmarkStart w:id="0" w:name="_GoBack"/>
      <w:bookmarkEnd w:id="0"/>
    </w:p>
    <w:sectPr w:rsidR="008737C2" w:rsidSect="00CF0B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C2"/>
    <w:rsid w:val="008737C2"/>
    <w:rsid w:val="00CF0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F7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7C2"/>
    <w:pPr>
      <w:widowControl w:val="0"/>
      <w:suppressAutoHyphens/>
      <w:autoSpaceDN w:val="0"/>
      <w:textAlignment w:val="baseline"/>
    </w:pPr>
    <w:rPr>
      <w:rFonts w:ascii="Times New Roman" w:eastAsia="SimSun" w:hAnsi="Times New Roman" w:cs="Mangal"/>
      <w:kern w:val="3"/>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737C2"/>
    <w:pPr>
      <w:suppressAutoHyphens/>
      <w:autoSpaceDN w:val="0"/>
      <w:textAlignment w:val="baseline"/>
    </w:pPr>
    <w:rPr>
      <w:rFonts w:ascii="Times New Roman" w:eastAsia="Times New Roman" w:hAnsi="Times New Roman" w:cs="Times New Roman"/>
      <w:kern w:val="3"/>
      <w:lang w:eastAsia="zh-CN"/>
    </w:rPr>
  </w:style>
  <w:style w:type="paragraph" w:customStyle="1" w:styleId="TableContents">
    <w:name w:val="Table Contents"/>
    <w:basedOn w:val="Standard"/>
    <w:rsid w:val="008737C2"/>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7C2"/>
    <w:pPr>
      <w:widowControl w:val="0"/>
      <w:suppressAutoHyphens/>
      <w:autoSpaceDN w:val="0"/>
      <w:textAlignment w:val="baseline"/>
    </w:pPr>
    <w:rPr>
      <w:rFonts w:ascii="Times New Roman" w:eastAsia="SimSun" w:hAnsi="Times New Roman" w:cs="Mangal"/>
      <w:kern w:val="3"/>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737C2"/>
    <w:pPr>
      <w:suppressAutoHyphens/>
      <w:autoSpaceDN w:val="0"/>
      <w:textAlignment w:val="baseline"/>
    </w:pPr>
    <w:rPr>
      <w:rFonts w:ascii="Times New Roman" w:eastAsia="Times New Roman" w:hAnsi="Times New Roman" w:cs="Times New Roman"/>
      <w:kern w:val="3"/>
      <w:lang w:eastAsia="zh-CN"/>
    </w:rPr>
  </w:style>
  <w:style w:type="paragraph" w:customStyle="1" w:styleId="TableContents">
    <w:name w:val="Table Contents"/>
    <w:basedOn w:val="Standard"/>
    <w:rsid w:val="008737C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Macintosh Word</Application>
  <DocSecurity>0</DocSecurity>
  <Lines>13</Lines>
  <Paragraphs>3</Paragraphs>
  <ScaleCrop>false</ScaleCrop>
  <Company>Femtique</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Beaulieu</dc:creator>
  <cp:keywords/>
  <dc:description/>
  <cp:lastModifiedBy>Judith Beaulieu</cp:lastModifiedBy>
  <cp:revision>1</cp:revision>
  <dcterms:created xsi:type="dcterms:W3CDTF">2011-06-28T19:14:00Z</dcterms:created>
  <dcterms:modified xsi:type="dcterms:W3CDTF">2011-06-28T19:17:00Z</dcterms:modified>
</cp:coreProperties>
</file>